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个人基本情况</w:t>
      </w:r>
    </w:p>
    <w:tbl>
      <w:tblPr>
        <w:tblStyle w:val="2"/>
        <w:tblpPr w:leftFromText="180" w:rightFromText="180" w:vertAnchor="page" w:horzAnchor="page" w:tblpX="1369" w:tblpY="2168"/>
        <w:tblOverlap w:val="never"/>
        <w:tblW w:w="940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92"/>
        <w:gridCol w:w="1967"/>
        <w:gridCol w:w="1812"/>
        <w:gridCol w:w="1892"/>
        <w:gridCol w:w="224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149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 xml:space="preserve">姓   </w:t>
            </w:r>
            <w:r>
              <w:rPr>
                <w:rFonts w:hint="eastAsia" w:ascii="宋体" w:hAnsi="宋体" w:eastAsia="宋体"/>
                <w:bCs/>
                <w:color w:val="000000"/>
                <w:sz w:val="24"/>
                <w:szCs w:val="24"/>
                <w:lang w:val="en-US" w:eastAsia="zh-CN"/>
              </w:rPr>
              <w:t xml:space="preserve"> </w:t>
            </w:r>
            <w:r>
              <w:rPr>
                <w:rFonts w:hint="eastAsia" w:ascii="宋体" w:hAnsi="宋体" w:eastAsia="宋体"/>
                <w:bCs/>
                <w:color w:val="000000"/>
                <w:sz w:val="24"/>
                <w:szCs w:val="24"/>
              </w:rPr>
              <w:t>名</w:t>
            </w:r>
          </w:p>
        </w:tc>
        <w:tc>
          <w:tcPr>
            <w:tcW w:w="1967" w:type="dxa"/>
            <w:noWrap w:val="0"/>
            <w:vAlign w:val="center"/>
          </w:tcPr>
          <w:p>
            <w:pPr>
              <w:snapToGrid w:val="0"/>
              <w:jc w:val="center"/>
              <w:rPr>
                <w:rFonts w:hint="eastAsia" w:ascii="宋体" w:hAnsi="宋体" w:eastAsia="宋体"/>
                <w:bCs/>
                <w:color w:val="000000"/>
                <w:sz w:val="24"/>
                <w:szCs w:val="24"/>
                <w:lang w:eastAsia="zh-CN"/>
              </w:rPr>
            </w:pPr>
            <w:r>
              <w:rPr>
                <w:rFonts w:hint="eastAsia" w:ascii="宋体" w:hAnsi="宋体" w:eastAsia="宋体"/>
                <w:bCs/>
                <w:color w:val="000000"/>
                <w:sz w:val="24"/>
                <w:szCs w:val="24"/>
                <w:lang w:eastAsia="zh-CN"/>
              </w:rPr>
              <w:t>陈宝文</w:t>
            </w:r>
          </w:p>
        </w:tc>
        <w:tc>
          <w:tcPr>
            <w:tcW w:w="181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性    别</w:t>
            </w:r>
          </w:p>
        </w:tc>
        <w:tc>
          <w:tcPr>
            <w:tcW w:w="1892" w:type="dxa"/>
            <w:noWrap w:val="0"/>
            <w:vAlign w:val="center"/>
          </w:tcPr>
          <w:p>
            <w:pPr>
              <w:snapToGrid w:val="0"/>
              <w:jc w:val="center"/>
              <w:rPr>
                <w:rFonts w:hint="eastAsia" w:ascii="宋体" w:hAnsi="宋体" w:eastAsia="宋体"/>
                <w:bCs/>
                <w:color w:val="000000"/>
                <w:sz w:val="24"/>
                <w:szCs w:val="24"/>
                <w:lang w:eastAsia="zh-CN"/>
              </w:rPr>
            </w:pPr>
            <w:r>
              <w:rPr>
                <w:rFonts w:hint="eastAsia" w:ascii="宋体" w:hAnsi="宋体" w:eastAsia="宋体"/>
                <w:bCs/>
                <w:color w:val="000000"/>
                <w:sz w:val="24"/>
                <w:szCs w:val="24"/>
                <w:lang w:eastAsia="zh-CN"/>
              </w:rPr>
              <w:t>女</w:t>
            </w:r>
          </w:p>
        </w:tc>
        <w:tc>
          <w:tcPr>
            <w:tcW w:w="2245" w:type="dxa"/>
            <w:vMerge w:val="restart"/>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sz w:val="22"/>
                <w:szCs w:val="22"/>
                <w:lang w:eastAsia="zh-CN"/>
              </w:rPr>
              <w:drawing>
                <wp:anchor distT="0" distB="0" distL="114300" distR="114300" simplePos="0" relativeHeight="251659264" behindDoc="0" locked="0" layoutInCell="1" allowOverlap="1">
                  <wp:simplePos x="0" y="0"/>
                  <wp:positionH relativeFrom="column">
                    <wp:posOffset>50800</wp:posOffset>
                  </wp:positionH>
                  <wp:positionV relativeFrom="paragraph">
                    <wp:posOffset>34290</wp:posOffset>
                  </wp:positionV>
                  <wp:extent cx="1084580" cy="1172845"/>
                  <wp:effectExtent l="0" t="0" r="1270" b="8255"/>
                  <wp:wrapNone/>
                  <wp:docPr id="3" name="图片 2" descr="IMG_9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9033"/>
                          <pic:cNvPicPr>
                            <a:picLocks noChangeAspect="1"/>
                          </pic:cNvPicPr>
                        </pic:nvPicPr>
                        <pic:blipFill>
                          <a:blip r:embed="rId4"/>
                          <a:srcRect t="12332" r="5177" b="13979"/>
                          <a:stretch>
                            <a:fillRect/>
                          </a:stretch>
                        </pic:blipFill>
                        <pic:spPr>
                          <a:xfrm>
                            <a:off x="0" y="0"/>
                            <a:ext cx="1084580" cy="1172845"/>
                          </a:xfrm>
                          <a:prstGeom prst="rect">
                            <a:avLst/>
                          </a:prstGeom>
                          <a:noFill/>
                          <a:ln>
                            <a:noFill/>
                          </a:ln>
                        </pic:spPr>
                      </pic:pic>
                    </a:graphicData>
                  </a:graphic>
                </wp:anchor>
              </w:drawing>
            </w:r>
          </w:p>
          <w:p>
            <w:pPr>
              <w:snapToGrid w:val="0"/>
              <w:jc w:val="center"/>
              <w:rPr>
                <w:rFonts w:hint="eastAsia" w:ascii="宋体" w:hAnsi="宋体" w:eastAsia="宋体"/>
                <w:bCs/>
                <w:color w:val="000000"/>
                <w:sz w:val="24"/>
                <w:szCs w:val="24"/>
              </w:rPr>
            </w:pPr>
          </w:p>
          <w:p>
            <w:pPr>
              <w:snapToGrid w:val="0"/>
              <w:jc w:val="center"/>
              <w:rPr>
                <w:rFonts w:hint="eastAsia" w:ascii="宋体" w:hAnsi="宋体" w:eastAsia="宋体"/>
                <w:bCs/>
                <w:color w:val="000000"/>
                <w:sz w:val="24"/>
                <w:szCs w:val="24"/>
              </w:rPr>
            </w:pPr>
          </w:p>
          <w:p>
            <w:pPr>
              <w:snapToGrid w:val="0"/>
              <w:jc w:val="center"/>
              <w:rPr>
                <w:rFonts w:hint="eastAsia" w:ascii="宋体" w:hAnsi="宋体" w:eastAsia="宋体"/>
                <w:bCs/>
                <w:color w:val="000000"/>
                <w:sz w:val="24"/>
                <w:szCs w:val="24"/>
              </w:rPr>
            </w:pPr>
          </w:p>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（照片）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149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 xml:space="preserve">民  </w:t>
            </w:r>
            <w:r>
              <w:rPr>
                <w:rFonts w:hint="eastAsia" w:ascii="宋体" w:hAnsi="宋体" w:eastAsia="宋体"/>
                <w:bCs/>
                <w:color w:val="000000"/>
                <w:sz w:val="24"/>
                <w:szCs w:val="24"/>
                <w:lang w:val="en-US" w:eastAsia="zh-CN"/>
              </w:rPr>
              <w:t xml:space="preserve"> </w:t>
            </w:r>
            <w:r>
              <w:rPr>
                <w:rFonts w:hint="eastAsia" w:ascii="宋体" w:hAnsi="宋体" w:eastAsia="宋体"/>
                <w:bCs/>
                <w:color w:val="000000"/>
                <w:sz w:val="24"/>
                <w:szCs w:val="24"/>
              </w:rPr>
              <w:t xml:space="preserve"> 族</w:t>
            </w:r>
          </w:p>
        </w:tc>
        <w:tc>
          <w:tcPr>
            <w:tcW w:w="1967" w:type="dxa"/>
            <w:noWrap w:val="0"/>
            <w:vAlign w:val="center"/>
          </w:tcPr>
          <w:p>
            <w:pPr>
              <w:snapToGrid w:val="0"/>
              <w:jc w:val="center"/>
              <w:rPr>
                <w:rFonts w:hint="eastAsia" w:ascii="宋体" w:hAnsi="宋体" w:eastAsia="宋体"/>
                <w:bCs/>
                <w:color w:val="000000"/>
                <w:sz w:val="24"/>
                <w:szCs w:val="24"/>
                <w:lang w:eastAsia="zh-CN"/>
              </w:rPr>
            </w:pPr>
            <w:r>
              <w:rPr>
                <w:rFonts w:hint="eastAsia" w:ascii="宋体" w:hAnsi="宋体" w:eastAsia="宋体"/>
                <w:bCs/>
                <w:color w:val="000000"/>
                <w:sz w:val="24"/>
                <w:szCs w:val="24"/>
                <w:lang w:eastAsia="zh-CN"/>
              </w:rPr>
              <w:t>汉</w:t>
            </w:r>
          </w:p>
        </w:tc>
        <w:tc>
          <w:tcPr>
            <w:tcW w:w="1812" w:type="dxa"/>
            <w:noWrap w:val="0"/>
            <w:vAlign w:val="center"/>
          </w:tcPr>
          <w:p>
            <w:pPr>
              <w:snapToGrid w:val="0"/>
              <w:jc w:val="center"/>
              <w:rPr>
                <w:rFonts w:hint="eastAsia" w:ascii="宋体" w:hAnsi="宋体" w:eastAsia="宋体"/>
                <w:bCs/>
                <w:color w:val="000000"/>
                <w:sz w:val="24"/>
                <w:szCs w:val="24"/>
                <w:lang w:eastAsia="zh-CN"/>
              </w:rPr>
            </w:pPr>
            <w:r>
              <w:rPr>
                <w:rFonts w:hint="eastAsia" w:ascii="宋体" w:hAnsi="宋体" w:eastAsia="宋体"/>
                <w:bCs/>
                <w:color w:val="000000"/>
                <w:sz w:val="24"/>
                <w:szCs w:val="24"/>
              </w:rPr>
              <w:t>出生</w:t>
            </w:r>
            <w:r>
              <w:rPr>
                <w:rFonts w:hint="eastAsia" w:ascii="宋体" w:hAnsi="宋体" w:eastAsia="宋体"/>
                <w:bCs/>
                <w:color w:val="000000"/>
                <w:sz w:val="24"/>
                <w:szCs w:val="24"/>
                <w:lang w:eastAsia="zh-CN"/>
              </w:rPr>
              <w:t>年月</w:t>
            </w:r>
          </w:p>
        </w:tc>
        <w:tc>
          <w:tcPr>
            <w:tcW w:w="1892" w:type="dxa"/>
            <w:noWrap w:val="0"/>
            <w:vAlign w:val="center"/>
          </w:tcPr>
          <w:p>
            <w:pPr>
              <w:snapToGrid w:val="0"/>
              <w:jc w:val="center"/>
              <w:rPr>
                <w:rFonts w:hint="default" w:ascii="宋体" w:hAnsi="宋体" w:eastAsia="宋体"/>
                <w:bCs/>
                <w:color w:val="000000"/>
                <w:sz w:val="24"/>
                <w:szCs w:val="24"/>
                <w:lang w:val="en-US" w:eastAsia="zh-CN"/>
              </w:rPr>
            </w:pPr>
            <w:r>
              <w:rPr>
                <w:rFonts w:hint="eastAsia" w:ascii="宋体" w:hAnsi="宋体" w:eastAsia="宋体"/>
                <w:bCs/>
                <w:color w:val="000000"/>
                <w:sz w:val="24"/>
                <w:szCs w:val="24"/>
                <w:lang w:val="en-US" w:eastAsia="zh-CN"/>
              </w:rPr>
              <w:t>1977.5.27</w:t>
            </w:r>
          </w:p>
        </w:tc>
        <w:tc>
          <w:tcPr>
            <w:tcW w:w="2245" w:type="dxa"/>
            <w:vMerge w:val="continue"/>
            <w:noWrap w:val="0"/>
            <w:vAlign w:val="center"/>
          </w:tcPr>
          <w:p>
            <w:pPr>
              <w:snapToGrid w:val="0"/>
              <w:jc w:val="center"/>
              <w:rPr>
                <w:rFonts w:hint="eastAsia" w:ascii="宋体" w:hAnsi="宋体" w:eastAsia="宋体"/>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149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政治面貌</w:t>
            </w:r>
          </w:p>
        </w:tc>
        <w:tc>
          <w:tcPr>
            <w:tcW w:w="1967" w:type="dxa"/>
            <w:noWrap w:val="0"/>
            <w:vAlign w:val="center"/>
          </w:tcPr>
          <w:p>
            <w:pPr>
              <w:snapToGrid w:val="0"/>
              <w:jc w:val="center"/>
              <w:rPr>
                <w:rFonts w:hint="eastAsia" w:ascii="宋体" w:hAnsi="宋体" w:eastAsia="宋体"/>
                <w:bCs/>
                <w:color w:val="000000"/>
                <w:sz w:val="24"/>
                <w:szCs w:val="24"/>
              </w:rPr>
            </w:pPr>
          </w:p>
        </w:tc>
        <w:tc>
          <w:tcPr>
            <w:tcW w:w="181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 xml:space="preserve">教   </w:t>
            </w:r>
            <w:r>
              <w:rPr>
                <w:rFonts w:hint="eastAsia" w:ascii="宋体" w:hAnsi="宋体" w:eastAsia="宋体"/>
                <w:bCs/>
                <w:color w:val="000000"/>
                <w:sz w:val="24"/>
                <w:szCs w:val="24"/>
                <w:lang w:val="en-US" w:eastAsia="zh-CN"/>
              </w:rPr>
              <w:t xml:space="preserve"> </w:t>
            </w:r>
            <w:r>
              <w:rPr>
                <w:rFonts w:hint="eastAsia" w:ascii="宋体" w:hAnsi="宋体" w:eastAsia="宋体"/>
                <w:bCs/>
                <w:color w:val="000000"/>
                <w:sz w:val="24"/>
                <w:szCs w:val="24"/>
              </w:rPr>
              <w:t>龄</w:t>
            </w:r>
          </w:p>
        </w:tc>
        <w:tc>
          <w:tcPr>
            <w:tcW w:w="1892" w:type="dxa"/>
            <w:noWrap w:val="0"/>
            <w:vAlign w:val="center"/>
          </w:tcPr>
          <w:p>
            <w:pPr>
              <w:snapToGrid w:val="0"/>
              <w:jc w:val="center"/>
              <w:rPr>
                <w:rFonts w:hint="default" w:ascii="宋体" w:hAnsi="宋体" w:eastAsia="宋体"/>
                <w:bCs/>
                <w:color w:val="000000"/>
                <w:sz w:val="24"/>
                <w:szCs w:val="24"/>
                <w:lang w:val="en-US" w:eastAsia="zh-CN"/>
              </w:rPr>
            </w:pPr>
            <w:r>
              <w:rPr>
                <w:rFonts w:hint="eastAsia" w:ascii="宋体" w:hAnsi="宋体" w:eastAsia="宋体"/>
                <w:bCs/>
                <w:color w:val="000000"/>
                <w:sz w:val="24"/>
                <w:szCs w:val="24"/>
                <w:lang w:val="en-US" w:eastAsia="zh-CN"/>
              </w:rPr>
              <w:t>26</w:t>
            </w:r>
          </w:p>
        </w:tc>
        <w:tc>
          <w:tcPr>
            <w:tcW w:w="2245" w:type="dxa"/>
            <w:vMerge w:val="continue"/>
            <w:noWrap w:val="0"/>
            <w:vAlign w:val="center"/>
          </w:tcPr>
          <w:p>
            <w:pPr>
              <w:snapToGrid w:val="0"/>
              <w:jc w:val="center"/>
              <w:rPr>
                <w:rFonts w:hint="eastAsia" w:ascii="宋体" w:hAnsi="宋体" w:eastAsia="宋体"/>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149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 xml:space="preserve">学  </w:t>
            </w:r>
            <w:r>
              <w:rPr>
                <w:rFonts w:hint="eastAsia" w:ascii="宋体" w:hAnsi="宋体" w:eastAsia="宋体"/>
                <w:bCs/>
                <w:color w:val="000000"/>
                <w:sz w:val="24"/>
                <w:szCs w:val="24"/>
                <w:lang w:val="en-US" w:eastAsia="zh-CN"/>
              </w:rPr>
              <w:t xml:space="preserve"> </w:t>
            </w:r>
            <w:r>
              <w:rPr>
                <w:rFonts w:hint="eastAsia" w:ascii="宋体" w:hAnsi="宋体" w:eastAsia="宋体"/>
                <w:bCs/>
                <w:color w:val="000000"/>
                <w:sz w:val="24"/>
                <w:szCs w:val="24"/>
              </w:rPr>
              <w:t xml:space="preserve"> 历</w:t>
            </w:r>
          </w:p>
        </w:tc>
        <w:tc>
          <w:tcPr>
            <w:tcW w:w="1967" w:type="dxa"/>
            <w:noWrap w:val="0"/>
            <w:vAlign w:val="center"/>
          </w:tcPr>
          <w:p>
            <w:pPr>
              <w:snapToGrid w:val="0"/>
              <w:jc w:val="center"/>
              <w:rPr>
                <w:rFonts w:hint="eastAsia" w:ascii="宋体" w:hAnsi="宋体" w:eastAsia="宋体"/>
                <w:bCs/>
                <w:color w:val="000000"/>
                <w:sz w:val="24"/>
                <w:szCs w:val="24"/>
                <w:lang w:eastAsia="zh-CN"/>
              </w:rPr>
            </w:pPr>
            <w:r>
              <w:rPr>
                <w:rFonts w:hint="eastAsia" w:ascii="宋体" w:hAnsi="宋体" w:eastAsia="宋体"/>
                <w:bCs/>
                <w:color w:val="000000"/>
                <w:sz w:val="24"/>
                <w:szCs w:val="24"/>
                <w:lang w:eastAsia="zh-CN"/>
              </w:rPr>
              <w:t>本科</w:t>
            </w:r>
          </w:p>
        </w:tc>
        <w:tc>
          <w:tcPr>
            <w:tcW w:w="181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 xml:space="preserve">学   </w:t>
            </w:r>
            <w:r>
              <w:rPr>
                <w:rFonts w:hint="eastAsia" w:ascii="宋体" w:hAnsi="宋体" w:eastAsia="宋体"/>
                <w:bCs/>
                <w:color w:val="000000"/>
                <w:sz w:val="24"/>
                <w:szCs w:val="24"/>
                <w:lang w:val="en-US" w:eastAsia="zh-CN"/>
              </w:rPr>
              <w:t xml:space="preserve"> </w:t>
            </w:r>
            <w:r>
              <w:rPr>
                <w:rFonts w:hint="eastAsia" w:ascii="宋体" w:hAnsi="宋体" w:eastAsia="宋体"/>
                <w:bCs/>
                <w:color w:val="000000"/>
                <w:sz w:val="24"/>
                <w:szCs w:val="24"/>
              </w:rPr>
              <w:t>位</w:t>
            </w:r>
          </w:p>
        </w:tc>
        <w:tc>
          <w:tcPr>
            <w:tcW w:w="1892" w:type="dxa"/>
            <w:noWrap w:val="0"/>
            <w:vAlign w:val="center"/>
          </w:tcPr>
          <w:p>
            <w:pPr>
              <w:snapToGrid w:val="0"/>
              <w:jc w:val="center"/>
              <w:rPr>
                <w:rFonts w:hint="eastAsia" w:ascii="宋体" w:hAnsi="宋体" w:eastAsia="宋体"/>
                <w:bCs/>
                <w:color w:val="000000"/>
                <w:sz w:val="24"/>
                <w:szCs w:val="24"/>
              </w:rPr>
            </w:pPr>
          </w:p>
        </w:tc>
        <w:tc>
          <w:tcPr>
            <w:tcW w:w="2245" w:type="dxa"/>
            <w:vMerge w:val="continue"/>
            <w:noWrap w:val="0"/>
            <w:vAlign w:val="center"/>
          </w:tcPr>
          <w:p>
            <w:pPr>
              <w:snapToGrid w:val="0"/>
              <w:jc w:val="center"/>
              <w:rPr>
                <w:rFonts w:hint="eastAsia" w:ascii="宋体" w:hAnsi="宋体" w:eastAsia="宋体"/>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1492" w:type="dxa"/>
            <w:noWrap w:val="0"/>
            <w:vAlign w:val="center"/>
          </w:tcPr>
          <w:p>
            <w:pPr>
              <w:snapToGrid w:val="0"/>
              <w:spacing w:line="280" w:lineRule="exact"/>
              <w:jc w:val="center"/>
              <w:rPr>
                <w:rFonts w:hint="eastAsia" w:ascii="宋体" w:hAnsi="宋体" w:eastAsia="宋体"/>
                <w:bCs/>
                <w:color w:val="000000"/>
                <w:sz w:val="24"/>
                <w:szCs w:val="24"/>
                <w:lang w:eastAsia="zh-CN"/>
              </w:rPr>
            </w:pPr>
            <w:r>
              <w:rPr>
                <w:rFonts w:hint="eastAsia" w:ascii="宋体" w:hAnsi="宋体" w:eastAsia="宋体"/>
                <w:bCs/>
                <w:color w:val="000000"/>
                <w:sz w:val="24"/>
                <w:szCs w:val="24"/>
                <w:lang w:eastAsia="zh-CN"/>
              </w:rPr>
              <w:t>职</w:t>
            </w:r>
            <w:r>
              <w:rPr>
                <w:rFonts w:hint="eastAsia" w:ascii="宋体" w:hAnsi="宋体" w:eastAsia="宋体"/>
                <w:bCs/>
                <w:color w:val="000000"/>
                <w:sz w:val="24"/>
                <w:szCs w:val="24"/>
                <w:lang w:val="en-US" w:eastAsia="zh-CN"/>
              </w:rPr>
              <w:t xml:space="preserve">    </w:t>
            </w:r>
            <w:r>
              <w:rPr>
                <w:rFonts w:hint="eastAsia" w:ascii="宋体" w:hAnsi="宋体" w:eastAsia="宋体"/>
                <w:bCs/>
                <w:color w:val="000000"/>
                <w:sz w:val="24"/>
                <w:szCs w:val="24"/>
                <w:lang w:eastAsia="zh-CN"/>
              </w:rPr>
              <w:t>称</w:t>
            </w:r>
          </w:p>
        </w:tc>
        <w:tc>
          <w:tcPr>
            <w:tcW w:w="1967" w:type="dxa"/>
            <w:tcBorders>
              <w:right w:val="single" w:color="auto" w:sz="4" w:space="0"/>
            </w:tcBorders>
            <w:noWrap w:val="0"/>
            <w:vAlign w:val="center"/>
          </w:tcPr>
          <w:p>
            <w:pPr>
              <w:snapToGrid w:val="0"/>
              <w:ind w:left="-153" w:leftChars="-51" w:firstLine="91" w:firstLineChars="38"/>
              <w:jc w:val="center"/>
              <w:rPr>
                <w:rFonts w:hint="eastAsia" w:ascii="宋体" w:hAnsi="宋体" w:eastAsia="宋体"/>
                <w:bCs/>
                <w:color w:val="000000"/>
                <w:sz w:val="24"/>
                <w:szCs w:val="24"/>
                <w:lang w:eastAsia="zh-CN"/>
              </w:rPr>
            </w:pPr>
            <w:r>
              <w:rPr>
                <w:rFonts w:hint="eastAsia" w:ascii="宋体" w:hAnsi="宋体" w:eastAsia="宋体"/>
                <w:bCs/>
                <w:color w:val="000000"/>
                <w:sz w:val="24"/>
                <w:szCs w:val="24"/>
                <w:lang w:eastAsia="zh-CN"/>
              </w:rPr>
              <w:t>高级</w:t>
            </w:r>
          </w:p>
        </w:tc>
        <w:tc>
          <w:tcPr>
            <w:tcW w:w="1812" w:type="dxa"/>
            <w:tcBorders>
              <w:left w:val="single" w:color="auto" w:sz="4" w:space="0"/>
              <w:right w:val="single" w:color="auto" w:sz="4" w:space="0"/>
            </w:tcBorders>
            <w:noWrap w:val="0"/>
            <w:vAlign w:val="center"/>
          </w:tcPr>
          <w:p>
            <w:pPr>
              <w:snapToGrid w:val="0"/>
              <w:spacing w:line="280" w:lineRule="exact"/>
              <w:jc w:val="center"/>
              <w:rPr>
                <w:rFonts w:hint="eastAsia" w:ascii="宋体" w:hAnsi="宋体" w:eastAsia="宋体"/>
                <w:bCs/>
                <w:color w:val="000000"/>
                <w:sz w:val="24"/>
                <w:szCs w:val="24"/>
              </w:rPr>
            </w:pPr>
            <w:r>
              <w:rPr>
                <w:rFonts w:hint="eastAsia" w:ascii="宋体" w:hAnsi="宋体" w:eastAsia="宋体"/>
                <w:bCs/>
                <w:color w:val="000000"/>
                <w:sz w:val="24"/>
                <w:szCs w:val="24"/>
              </w:rPr>
              <w:t>职</w:t>
            </w:r>
            <w:r>
              <w:rPr>
                <w:rFonts w:hint="eastAsia" w:ascii="宋体" w:hAnsi="宋体" w:eastAsia="宋体"/>
                <w:bCs/>
                <w:color w:val="000000"/>
                <w:sz w:val="24"/>
                <w:szCs w:val="24"/>
                <w:lang w:val="en-US" w:eastAsia="zh-CN"/>
              </w:rPr>
              <w:t xml:space="preserve">    </w:t>
            </w:r>
            <w:r>
              <w:rPr>
                <w:rFonts w:hint="eastAsia" w:ascii="宋体" w:hAnsi="宋体" w:eastAsia="宋体"/>
                <w:bCs/>
                <w:color w:val="000000"/>
                <w:sz w:val="24"/>
                <w:szCs w:val="24"/>
              </w:rPr>
              <w:t>务</w:t>
            </w:r>
          </w:p>
        </w:tc>
        <w:tc>
          <w:tcPr>
            <w:tcW w:w="1892" w:type="dxa"/>
            <w:tcBorders>
              <w:left w:val="single" w:color="auto" w:sz="4" w:space="0"/>
            </w:tcBorders>
            <w:noWrap w:val="0"/>
            <w:vAlign w:val="center"/>
          </w:tcPr>
          <w:p>
            <w:pPr>
              <w:snapToGrid w:val="0"/>
              <w:jc w:val="center"/>
              <w:rPr>
                <w:rFonts w:hint="eastAsia" w:ascii="宋体" w:hAnsi="宋体" w:eastAsia="宋体"/>
                <w:bCs/>
                <w:color w:val="000000"/>
                <w:sz w:val="24"/>
                <w:szCs w:val="24"/>
                <w:lang w:eastAsia="zh-CN"/>
              </w:rPr>
            </w:pPr>
            <w:r>
              <w:rPr>
                <w:rFonts w:hint="eastAsia" w:ascii="宋体" w:hAnsi="宋体" w:eastAsia="宋体"/>
                <w:bCs/>
                <w:color w:val="000000"/>
                <w:sz w:val="24"/>
                <w:szCs w:val="24"/>
                <w:lang w:eastAsia="zh-CN"/>
              </w:rPr>
              <w:t>教研员（兼职）</w:t>
            </w:r>
          </w:p>
        </w:tc>
        <w:tc>
          <w:tcPr>
            <w:tcW w:w="2245" w:type="dxa"/>
            <w:vMerge w:val="continue"/>
            <w:noWrap w:val="0"/>
            <w:vAlign w:val="center"/>
          </w:tcPr>
          <w:p>
            <w:pPr>
              <w:snapToGrid w:val="0"/>
              <w:jc w:val="center"/>
              <w:rPr>
                <w:rFonts w:hint="eastAsia" w:ascii="宋体" w:hAnsi="宋体" w:eastAsia="宋体"/>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149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工作单位</w:t>
            </w:r>
          </w:p>
        </w:tc>
        <w:tc>
          <w:tcPr>
            <w:tcW w:w="5671" w:type="dxa"/>
            <w:gridSpan w:val="3"/>
            <w:noWrap w:val="0"/>
            <w:vAlign w:val="center"/>
          </w:tcPr>
          <w:p>
            <w:pPr>
              <w:snapToGrid w:val="0"/>
              <w:jc w:val="center"/>
              <w:rPr>
                <w:rFonts w:hint="default" w:ascii="宋体" w:hAnsi="宋体" w:eastAsia="宋体"/>
                <w:bCs/>
                <w:color w:val="000000"/>
                <w:sz w:val="24"/>
                <w:szCs w:val="24"/>
                <w:lang w:val="en-US" w:eastAsia="zh-CN"/>
              </w:rPr>
            </w:pPr>
            <w:r>
              <w:rPr>
                <w:rFonts w:hint="eastAsia" w:ascii="宋体" w:hAnsi="宋体" w:eastAsia="宋体"/>
                <w:bCs/>
                <w:color w:val="000000"/>
                <w:sz w:val="24"/>
                <w:szCs w:val="24"/>
                <w:lang w:eastAsia="zh-CN"/>
              </w:rPr>
              <w:t>鞍山市宝得小学</w:t>
            </w:r>
          </w:p>
        </w:tc>
        <w:tc>
          <w:tcPr>
            <w:tcW w:w="2245" w:type="dxa"/>
            <w:vMerge w:val="continue"/>
            <w:noWrap w:val="0"/>
            <w:vAlign w:val="center"/>
          </w:tcPr>
          <w:p>
            <w:pPr>
              <w:snapToGrid w:val="0"/>
              <w:jc w:val="center"/>
              <w:rPr>
                <w:rFonts w:hint="eastAsia" w:ascii="宋体" w:hAnsi="宋体" w:eastAsia="宋体"/>
                <w:bCs/>
                <w:color w:val="000000"/>
                <w:sz w:val="24"/>
                <w:szCs w:val="24"/>
              </w:rPr>
            </w:pPr>
          </w:p>
        </w:tc>
      </w:tr>
    </w:tbl>
    <w:p>
      <w:pPr>
        <w:jc w:val="center"/>
        <w:rPr>
          <w:rFonts w:hint="eastAsia" w:ascii="宋体" w:hAnsi="宋体" w:eastAsia="宋体" w:cs="宋体"/>
          <w:b/>
          <w:bCs/>
          <w:sz w:val="32"/>
          <w:szCs w:val="32"/>
          <w:lang w:val="en-US" w:eastAsia="zh-CN"/>
        </w:rPr>
      </w:pPr>
    </w:p>
    <w:p>
      <w:pPr>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个人主要事迹</w:t>
      </w:r>
    </w:p>
    <w:p>
      <w:pPr>
        <w:keepNext w:val="0"/>
        <w:keepLines w:val="0"/>
        <w:pageBreakBefore w:val="0"/>
        <w:kinsoku/>
        <w:wordWrap/>
        <w:overflowPunct/>
        <w:topLinePunct w:val="0"/>
        <w:autoSpaceDE/>
        <w:autoSpaceDN/>
        <w:bidi w:val="0"/>
        <w:adjustRightInd/>
        <w:snapToGrid/>
        <w:spacing w:line="360" w:lineRule="auto"/>
        <w:ind w:firstLine="640" w:firstLineChars="200"/>
        <w:jc w:val="left"/>
        <w:textAlignment w:val="auto"/>
        <w:rPr>
          <w:rFonts w:hint="eastAsia" w:ascii="宋体" w:hAnsi="宋体" w:eastAsia="宋体" w:cs="宋体"/>
          <w:color w:val="000000"/>
          <w:sz w:val="32"/>
          <w:szCs w:val="32"/>
          <w:lang w:val="en-US" w:eastAsia="zh-CN"/>
        </w:rPr>
      </w:pPr>
      <w:r>
        <w:rPr>
          <w:rFonts w:hint="eastAsia" w:ascii="宋体" w:hAnsi="宋体" w:eastAsia="宋体" w:cs="宋体"/>
          <w:color w:val="000000"/>
          <w:sz w:val="32"/>
          <w:szCs w:val="32"/>
          <w:lang w:val="en-US" w:eastAsia="zh-CN"/>
        </w:rPr>
        <w:t>工作二十六年来，贯彻执行国家的教育方针，</w:t>
      </w:r>
      <w:r>
        <w:rPr>
          <w:rFonts w:hint="eastAsia" w:ascii="宋体" w:hAnsi="宋体" w:eastAsia="宋体" w:cs="宋体"/>
          <w:color w:val="000000"/>
          <w:sz w:val="32"/>
          <w:szCs w:val="32"/>
        </w:rPr>
        <w:t>带头培育和践行社会主义核心价值观，认真贯彻执行党的教育方针。模范履行教师职责，教书育人，为人师表，爱岗敬业。</w:t>
      </w:r>
      <w:r>
        <w:rPr>
          <w:rFonts w:hint="eastAsia" w:ascii="宋体" w:hAnsi="宋体" w:eastAsia="宋体" w:cs="宋体"/>
          <w:color w:val="000000"/>
          <w:sz w:val="32"/>
          <w:szCs w:val="32"/>
          <w:lang w:val="en-US" w:eastAsia="zh-CN"/>
        </w:rPr>
        <w:t>曾获得：辽宁省学科带头人、辽宁省“十二五”“十三五”骨干教师、国家教育部</w:t>
      </w:r>
      <w:r>
        <w:rPr>
          <w:rFonts w:hint="eastAsia" w:ascii="宋体" w:hAnsi="宋体" w:eastAsia="宋体" w:cs="宋体"/>
          <w:color w:val="000000"/>
          <w:sz w:val="32"/>
          <w:szCs w:val="32"/>
        </w:rPr>
        <w:t>优秀实验教师</w:t>
      </w:r>
      <w:r>
        <w:rPr>
          <w:rFonts w:hint="eastAsia" w:ascii="宋体" w:hAnsi="宋体" w:eastAsia="宋体" w:cs="宋体"/>
          <w:color w:val="000000"/>
          <w:sz w:val="32"/>
          <w:szCs w:val="32"/>
          <w:lang w:eastAsia="zh-CN"/>
        </w:rPr>
        <w:t>、</w:t>
      </w:r>
      <w:r>
        <w:rPr>
          <w:rFonts w:hint="eastAsia" w:ascii="宋体" w:hAnsi="宋体" w:eastAsia="宋体" w:cs="宋体"/>
          <w:color w:val="000000"/>
          <w:sz w:val="32"/>
          <w:szCs w:val="32"/>
        </w:rPr>
        <w:t>辽宁省基础教育领域“百名研究型名教师”</w:t>
      </w:r>
      <w:r>
        <w:rPr>
          <w:rFonts w:hint="eastAsia" w:ascii="宋体" w:hAnsi="宋体" w:eastAsia="宋体" w:cs="宋体"/>
          <w:color w:val="000000"/>
          <w:sz w:val="32"/>
          <w:szCs w:val="32"/>
          <w:lang w:eastAsia="zh-CN"/>
        </w:rPr>
        <w:t>、</w:t>
      </w:r>
      <w:r>
        <w:rPr>
          <w:rFonts w:hint="eastAsia" w:ascii="宋体" w:hAnsi="宋体" w:eastAsia="宋体" w:cs="宋体"/>
          <w:color w:val="000000"/>
          <w:sz w:val="32"/>
          <w:szCs w:val="32"/>
        </w:rPr>
        <w:t>“第十五届全国中青年骨干教师优秀教学成果评选活动”先进个人</w:t>
      </w:r>
      <w:r>
        <w:rPr>
          <w:rFonts w:hint="eastAsia" w:ascii="宋体" w:hAnsi="宋体" w:eastAsia="宋体" w:cs="宋体"/>
          <w:color w:val="000000"/>
          <w:sz w:val="32"/>
          <w:szCs w:val="32"/>
          <w:lang w:eastAsia="zh-CN"/>
        </w:rPr>
        <w:t>、</w:t>
      </w:r>
      <w:r>
        <w:rPr>
          <w:rFonts w:hint="eastAsia" w:ascii="宋体" w:hAnsi="宋体" w:eastAsia="宋体" w:cs="宋体"/>
          <w:color w:val="000000"/>
          <w:sz w:val="32"/>
          <w:szCs w:val="32"/>
          <w:lang w:val="en-US" w:eastAsia="zh-CN"/>
        </w:rPr>
        <w:t>鞍山市教学名师、鞍山市模范教师、鞍山市最美教师、鞍山市文明教师、鞍山市支教优秀教师、</w:t>
      </w:r>
      <w:r>
        <w:rPr>
          <w:rFonts w:hint="eastAsia" w:ascii="宋体" w:hAnsi="宋体" w:eastAsia="宋体" w:cs="宋体"/>
          <w:color w:val="000000"/>
          <w:sz w:val="32"/>
          <w:szCs w:val="32"/>
        </w:rPr>
        <w:t>鞍山市中小学教师培训百名专家库成员</w:t>
      </w:r>
      <w:r>
        <w:rPr>
          <w:rFonts w:hint="eastAsia" w:ascii="宋体" w:hAnsi="宋体" w:eastAsia="宋体" w:cs="宋体"/>
          <w:color w:val="000000"/>
          <w:sz w:val="32"/>
          <w:szCs w:val="32"/>
          <w:lang w:val="en-US" w:eastAsia="zh-CN"/>
        </w:rPr>
        <w:t>、</w:t>
      </w:r>
      <w:r>
        <w:rPr>
          <w:rFonts w:hint="eastAsia" w:ascii="宋体" w:hAnsi="宋体" w:eastAsia="宋体" w:cs="宋体"/>
          <w:color w:val="000000"/>
          <w:sz w:val="32"/>
          <w:szCs w:val="32"/>
        </w:rPr>
        <w:t>《鞍山市教学名师、学科带头人高级研修班》培训活动优秀学员</w:t>
      </w:r>
      <w:r>
        <w:rPr>
          <w:rFonts w:hint="eastAsia" w:ascii="宋体" w:hAnsi="宋体" w:eastAsia="宋体" w:cs="宋体"/>
          <w:color w:val="000000"/>
          <w:sz w:val="32"/>
          <w:szCs w:val="32"/>
          <w:lang w:eastAsia="zh-CN"/>
        </w:rPr>
        <w:t>、</w:t>
      </w:r>
      <w:r>
        <w:rPr>
          <w:rFonts w:hint="eastAsia" w:ascii="宋体" w:hAnsi="宋体" w:eastAsia="宋体" w:cs="宋体"/>
          <w:color w:val="000000"/>
          <w:sz w:val="32"/>
          <w:szCs w:val="32"/>
        </w:rPr>
        <w:t>“鞍山市小学师生中华经典诵写讲活动”先进个</w:t>
      </w:r>
      <w:r>
        <w:rPr>
          <w:rFonts w:hint="eastAsia" w:ascii="宋体" w:hAnsi="宋体" w:eastAsia="宋体" w:cs="宋体"/>
          <w:color w:val="000000"/>
          <w:sz w:val="32"/>
          <w:szCs w:val="32"/>
          <w:lang w:eastAsia="zh-CN"/>
        </w:rPr>
        <w:t>人</w:t>
      </w:r>
      <w:r>
        <w:rPr>
          <w:rFonts w:hint="eastAsia" w:ascii="宋体" w:hAnsi="宋体" w:eastAsia="宋体" w:cs="宋体"/>
          <w:color w:val="000000"/>
          <w:sz w:val="32"/>
          <w:szCs w:val="32"/>
          <w:lang w:val="en-US" w:eastAsia="zh-CN"/>
        </w:rPr>
        <w:t>等荣誉，支教日志在经济开发区编辑成书，两次受到鞍山日报专访（《我在您的希望中放飞》《最美教师陈宝文：用爱浇灌孩子们的心灵》）。</w:t>
      </w:r>
    </w:p>
    <w:p>
      <w:pPr>
        <w:keepNext w:val="0"/>
        <w:keepLines w:val="0"/>
        <w:pageBreakBefore w:val="0"/>
        <w:widowControl/>
        <w:kinsoku/>
        <w:wordWrap/>
        <w:overflowPunct/>
        <w:topLinePunct w:val="0"/>
        <w:autoSpaceDE/>
        <w:autoSpaceDN/>
        <w:bidi w:val="0"/>
        <w:adjustRightInd/>
        <w:snapToGrid/>
        <w:spacing w:line="360" w:lineRule="auto"/>
        <w:ind w:left="-51" w:right="-51" w:firstLine="640" w:firstLineChars="200"/>
        <w:jc w:val="left"/>
        <w:textAlignment w:val="auto"/>
        <w:rPr>
          <w:rFonts w:hint="eastAsia" w:ascii="宋体" w:hAnsi="宋体" w:eastAsia="宋体" w:cs="宋体"/>
          <w:color w:val="000000"/>
          <w:sz w:val="32"/>
          <w:szCs w:val="32"/>
          <w:lang w:val="en-US" w:eastAsia="zh-CN"/>
        </w:rPr>
      </w:pPr>
      <w:r>
        <w:rPr>
          <w:rFonts w:hint="eastAsia" w:ascii="宋体" w:hAnsi="宋体" w:eastAsia="宋体" w:cs="宋体"/>
          <w:color w:val="000000"/>
          <w:sz w:val="32"/>
          <w:szCs w:val="32"/>
          <w:lang w:val="en-US" w:eastAsia="zh-CN"/>
        </w:rPr>
        <w:t>担任班主任和兼职教研员期间，积极挖掘学生潜能、努力激发学生的创造天赋，注重学生感悟、积累、兴趣，形成了自己的语文特色：兴趣引路、把握实践、注重积累。几年来，先后在省、市、区上示范课50余节， 多次获省市优质课，支教期间在岫岩县上示范课《圆圆的沙粒》并做培训讲座，关注课堂同时，注重自身素质的全面发展，曾获宁省小学语文学科专业素质评比展示一等奖、鞍山市小学教师专业素质课程技能展示一等奖、市流程框图大赛设计一等奖、鞍山市说课比赛一等奖、鞍山市教师技能大赛中二等奖……注重在教学中形成自己的语文特色，长期在班级中开展读书探究活动，开展多种形式的读书活动，定期带领学生进行共读一本书、读书交流会、书吧等活动，研讨的读书经验《想方设法让孩子喜爱阅读》在2013年鞍山日报上登载。多次在辽宁省吴娟名师工作室教学论坛中就差异教学与阅读进行经验交流，多次在市区做阅读和作文交流。积极进行作文教学探究，担任兼职教研员期间，带领全区热衷写作的教师，积极参加国家、省市作文课题研究。</w:t>
      </w:r>
    </w:p>
    <w:p>
      <w:pPr>
        <w:keepNext w:val="0"/>
        <w:keepLines w:val="0"/>
        <w:pageBreakBefore w:val="0"/>
        <w:kinsoku/>
        <w:wordWrap/>
        <w:overflowPunct/>
        <w:topLinePunct w:val="0"/>
        <w:autoSpaceDE/>
        <w:autoSpaceDN/>
        <w:bidi w:val="0"/>
        <w:adjustRightInd/>
        <w:snapToGrid/>
        <w:spacing w:line="360" w:lineRule="auto"/>
        <w:ind w:firstLine="640" w:firstLineChars="200"/>
        <w:jc w:val="left"/>
        <w:textAlignment w:val="auto"/>
        <w:rPr>
          <w:rFonts w:hint="eastAsia" w:ascii="宋体" w:hAnsi="宋体" w:eastAsia="宋体" w:cs="宋体"/>
          <w:color w:val="000000"/>
          <w:sz w:val="32"/>
          <w:szCs w:val="32"/>
          <w:lang w:val="en-US" w:eastAsia="zh-CN"/>
        </w:rPr>
      </w:pPr>
      <w:r>
        <w:rPr>
          <w:rFonts w:hint="eastAsia" w:ascii="宋体" w:hAnsi="宋体" w:eastAsia="宋体" w:cs="宋体"/>
          <w:color w:val="000000"/>
          <w:sz w:val="32"/>
          <w:szCs w:val="32"/>
          <w:lang w:val="en-US" w:eastAsia="zh-CN"/>
        </w:rPr>
        <w:t>在语文学科教育教学领域，参与全国各种形式的实践活动，进行讲座、主持发言等引领活动，策划、组织、主持市区教研活动。坚持网络学习，向全国各地名师学习、取经。2014年辽宁省吴娟名师工作室读书心得交流讲座—《叶的事业 花的果实》，同年吴娟名师工作室文言文教学研讨讲座人，同年组织召开经济开发区开展首届小学优秀课评选观摩活动，组织并担任评委；2015年10月吴娟名师工作室《课堂朗诵与配音艺术网络研修活动》主持人、发言人；2015年11月吴娟名师工作室《聚焦课堂：差异教学模式探索》发言人；</w:t>
      </w:r>
      <w:r>
        <w:rPr>
          <w:rFonts w:hint="eastAsia" w:ascii="宋体" w:hAnsi="宋体" w:eastAsia="宋体" w:cs="宋体"/>
          <w:color w:val="000000"/>
          <w:sz w:val="32"/>
          <w:szCs w:val="32"/>
        </w:rPr>
        <w:t>2016年10月26日，</w:t>
      </w:r>
      <w:r>
        <w:rPr>
          <w:rFonts w:hint="eastAsia" w:ascii="宋体" w:hAnsi="宋体" w:eastAsia="宋体" w:cs="宋体"/>
          <w:color w:val="000000"/>
          <w:sz w:val="32"/>
          <w:szCs w:val="32"/>
          <w:lang w:eastAsia="zh-CN"/>
        </w:rPr>
        <w:t>组织承办经</w:t>
      </w:r>
      <w:r>
        <w:rPr>
          <w:rFonts w:hint="eastAsia" w:ascii="宋体" w:hAnsi="宋体" w:eastAsia="宋体" w:cs="宋体"/>
          <w:color w:val="000000"/>
          <w:sz w:val="32"/>
          <w:szCs w:val="32"/>
        </w:rPr>
        <w:t>开区卓越青年教师交流会</w:t>
      </w:r>
      <w:r>
        <w:rPr>
          <w:rFonts w:hint="eastAsia" w:ascii="宋体" w:hAnsi="宋体" w:eastAsia="宋体" w:cs="宋体"/>
          <w:color w:val="000000"/>
          <w:sz w:val="32"/>
          <w:szCs w:val="32"/>
          <w:lang w:eastAsia="zh-CN"/>
        </w:rPr>
        <w:t>，担任主持并做讲座；</w:t>
      </w:r>
      <w:r>
        <w:rPr>
          <w:rFonts w:hint="eastAsia" w:ascii="宋体" w:hAnsi="宋体" w:eastAsia="宋体" w:cs="宋体"/>
          <w:color w:val="000000"/>
          <w:sz w:val="32"/>
          <w:szCs w:val="32"/>
        </w:rPr>
        <w:t>2017年1月组织全区优秀班主任赴东北师范大学培训学习</w:t>
      </w:r>
      <w:r>
        <w:rPr>
          <w:rFonts w:hint="eastAsia" w:ascii="宋体" w:hAnsi="宋体" w:eastAsia="宋体" w:cs="宋体"/>
          <w:color w:val="000000"/>
          <w:sz w:val="32"/>
          <w:szCs w:val="32"/>
          <w:lang w:eastAsia="zh-CN"/>
        </w:rPr>
        <w:t>，</w:t>
      </w:r>
      <w:r>
        <w:rPr>
          <w:rFonts w:hint="eastAsia" w:ascii="宋体" w:hAnsi="宋体" w:eastAsia="宋体" w:cs="宋体"/>
          <w:color w:val="000000"/>
          <w:sz w:val="32"/>
          <w:szCs w:val="32"/>
        </w:rPr>
        <w:t>2017年10月31日上午，鞍山市小学学科实践活动研讨会暨经开区语文教学展评与培训会在宝得小学召开</w:t>
      </w:r>
      <w:r>
        <w:rPr>
          <w:rFonts w:hint="eastAsia" w:ascii="宋体" w:hAnsi="宋体" w:eastAsia="宋体" w:cs="宋体"/>
          <w:color w:val="000000"/>
          <w:sz w:val="32"/>
          <w:szCs w:val="32"/>
          <w:lang w:eastAsia="zh-CN"/>
        </w:rPr>
        <w:t>，组织并指导我</w:t>
      </w:r>
      <w:r>
        <w:rPr>
          <w:rFonts w:hint="eastAsia" w:ascii="宋体" w:hAnsi="宋体" w:eastAsia="宋体" w:cs="宋体"/>
          <w:color w:val="000000"/>
          <w:sz w:val="32"/>
          <w:szCs w:val="32"/>
          <w:lang w:val="en-US" w:eastAsia="zh-CN"/>
        </w:rPr>
        <w:t>区的几名老师上交流课；</w:t>
      </w:r>
      <w:r>
        <w:rPr>
          <w:rFonts w:hint="eastAsia" w:ascii="宋体" w:hAnsi="宋体" w:eastAsia="宋体" w:cs="宋体"/>
          <w:color w:val="000000"/>
          <w:sz w:val="32"/>
          <w:szCs w:val="32"/>
        </w:rPr>
        <w:t>2018</w:t>
      </w:r>
      <w:r>
        <w:rPr>
          <w:rFonts w:hint="eastAsia" w:ascii="宋体" w:hAnsi="宋体" w:eastAsia="宋体" w:cs="宋体"/>
          <w:color w:val="000000"/>
          <w:sz w:val="32"/>
          <w:szCs w:val="32"/>
          <w:lang w:eastAsia="zh-CN"/>
        </w:rPr>
        <w:t>年</w:t>
      </w:r>
      <w:r>
        <w:rPr>
          <w:rFonts w:hint="eastAsia" w:ascii="宋体" w:hAnsi="宋体" w:eastAsia="宋体" w:cs="宋体"/>
          <w:color w:val="000000"/>
          <w:sz w:val="32"/>
          <w:szCs w:val="32"/>
        </w:rPr>
        <w:t>10</w:t>
      </w:r>
      <w:r>
        <w:rPr>
          <w:rFonts w:hint="eastAsia" w:ascii="宋体" w:hAnsi="宋体" w:eastAsia="宋体" w:cs="宋体"/>
          <w:color w:val="000000"/>
          <w:sz w:val="32"/>
          <w:szCs w:val="32"/>
          <w:lang w:eastAsia="zh-CN"/>
        </w:rPr>
        <w:t>月在</w:t>
      </w:r>
      <w:r>
        <w:rPr>
          <w:rFonts w:hint="eastAsia" w:ascii="宋体" w:hAnsi="宋体" w:eastAsia="宋体" w:cs="宋体"/>
          <w:color w:val="000000"/>
          <w:sz w:val="32"/>
          <w:szCs w:val="32"/>
        </w:rPr>
        <w:t>鞍山市教师进修学院“送教下乡暨90天读书线下培训”活动中做《感受需要</w:t>
      </w:r>
      <w:r>
        <w:rPr>
          <w:rFonts w:hint="eastAsia" w:ascii="宋体" w:hAnsi="宋体" w:eastAsia="宋体" w:cs="宋体"/>
          <w:color w:val="000000"/>
          <w:sz w:val="32"/>
          <w:szCs w:val="32"/>
          <w:lang w:eastAsia="zh-CN"/>
        </w:rPr>
        <w:t>，</w:t>
      </w:r>
      <w:r>
        <w:rPr>
          <w:rFonts w:hint="eastAsia" w:ascii="宋体" w:hAnsi="宋体" w:eastAsia="宋体" w:cs="宋体"/>
          <w:color w:val="000000"/>
          <w:sz w:val="32"/>
          <w:szCs w:val="32"/>
        </w:rPr>
        <w:t>聆听心声》培训讲座</w:t>
      </w:r>
      <w:r>
        <w:rPr>
          <w:rFonts w:hint="eastAsia" w:ascii="宋体" w:hAnsi="宋体" w:eastAsia="宋体" w:cs="宋体"/>
          <w:color w:val="000000"/>
          <w:sz w:val="32"/>
          <w:szCs w:val="32"/>
          <w:lang w:eastAsia="zh-CN"/>
        </w:rPr>
        <w:t>。</w:t>
      </w:r>
      <w:r>
        <w:rPr>
          <w:rFonts w:hint="eastAsia" w:ascii="宋体" w:hAnsi="宋体" w:eastAsia="宋体" w:cs="宋体"/>
          <w:color w:val="000000"/>
          <w:sz w:val="32"/>
          <w:szCs w:val="32"/>
          <w:lang w:val="en-US" w:eastAsia="zh-CN"/>
        </w:rPr>
        <w:t>2020年2月担任鞍山市小学语文期初培训6年新教材解读任务，所做教材解读发表在《鞍山教育》；2021年鞍山市教育局新教师培训，担任新教师教育教学指导和培训讲座。</w:t>
      </w:r>
    </w:p>
    <w:p>
      <w:pPr>
        <w:keepNext w:val="0"/>
        <w:keepLines w:val="0"/>
        <w:pageBreakBefore w:val="0"/>
        <w:kinsoku/>
        <w:wordWrap/>
        <w:overflowPunct/>
        <w:topLinePunct w:val="0"/>
        <w:autoSpaceDE/>
        <w:autoSpaceDN/>
        <w:bidi w:val="0"/>
        <w:adjustRightInd/>
        <w:snapToGrid/>
        <w:spacing w:line="360" w:lineRule="auto"/>
        <w:ind w:firstLine="640" w:firstLineChars="200"/>
        <w:jc w:val="left"/>
        <w:textAlignment w:val="auto"/>
        <w:rPr>
          <w:rFonts w:hint="eastAsia" w:ascii="宋体" w:hAnsi="宋体" w:eastAsia="宋体" w:cs="宋体"/>
          <w:color w:val="000000"/>
          <w:sz w:val="32"/>
          <w:szCs w:val="32"/>
          <w:lang w:val="en-US" w:eastAsia="zh-CN"/>
        </w:rPr>
      </w:pPr>
      <w:r>
        <w:rPr>
          <w:rFonts w:hint="eastAsia" w:ascii="宋体" w:hAnsi="宋体" w:eastAsia="宋体" w:cs="宋体"/>
          <w:color w:val="000000"/>
          <w:sz w:val="32"/>
          <w:szCs w:val="32"/>
          <w:lang w:val="en-US" w:eastAsia="zh-CN"/>
        </w:rPr>
        <w:t>几年来主持国家、省市级课题《</w:t>
      </w:r>
      <w:r>
        <w:rPr>
          <w:rFonts w:hint="eastAsia" w:ascii="宋体" w:hAnsi="宋体" w:eastAsia="宋体" w:cs="宋体"/>
          <w:sz w:val="32"/>
          <w:szCs w:val="32"/>
        </w:rPr>
        <w:t>基于学科核心素养提升的小学习作 “随堂练笔”实践研究</w:t>
      </w:r>
      <w:r>
        <w:rPr>
          <w:rFonts w:hint="eastAsia" w:ascii="宋体" w:hAnsi="宋体" w:eastAsia="宋体" w:cs="宋体"/>
          <w:color w:val="000000"/>
          <w:sz w:val="32"/>
          <w:szCs w:val="32"/>
          <w:lang w:val="en-US" w:eastAsia="zh-CN"/>
        </w:rPr>
        <w:t>》</w:t>
      </w:r>
      <w:r>
        <w:rPr>
          <w:rFonts w:hint="eastAsia" w:ascii="宋体" w:hAnsi="宋体" w:eastAsia="宋体" w:cs="宋体"/>
          <w:sz w:val="32"/>
          <w:szCs w:val="32"/>
        </w:rPr>
        <w:t>《小学阅读教学中随文练笔的实践研究》</w:t>
      </w:r>
      <w:r>
        <w:rPr>
          <w:rFonts w:hint="eastAsia" w:ascii="宋体" w:hAnsi="宋体" w:eastAsia="宋体" w:cs="宋体"/>
          <w:sz w:val="32"/>
          <w:szCs w:val="32"/>
          <w:lang w:eastAsia="zh-CN"/>
        </w:rPr>
        <w:t>《</w:t>
      </w:r>
      <w:r>
        <w:rPr>
          <w:rFonts w:hint="eastAsia" w:ascii="宋体" w:hAnsi="宋体" w:eastAsia="宋体" w:cs="宋体"/>
          <w:sz w:val="32"/>
          <w:szCs w:val="32"/>
        </w:rPr>
        <w:t>小学阅读教学中的小练笔训练</w:t>
      </w:r>
      <w:r>
        <w:rPr>
          <w:rFonts w:hint="eastAsia" w:ascii="宋体" w:hAnsi="宋体" w:eastAsia="宋体" w:cs="宋体"/>
          <w:sz w:val="32"/>
          <w:szCs w:val="32"/>
          <w:lang w:eastAsia="zh-CN"/>
        </w:rPr>
        <w:t>》。参与国家、省市课题《〈</w:t>
      </w:r>
      <w:r>
        <w:rPr>
          <w:rFonts w:hint="eastAsia" w:ascii="宋体" w:hAnsi="宋体" w:eastAsia="宋体" w:cs="宋体"/>
          <w:sz w:val="32"/>
          <w:szCs w:val="32"/>
        </w:rPr>
        <w:t>差异教学策略研究</w:t>
      </w:r>
      <w:r>
        <w:rPr>
          <w:rFonts w:hint="eastAsia" w:ascii="宋体" w:hAnsi="宋体" w:eastAsia="宋体" w:cs="宋体"/>
          <w:sz w:val="32"/>
          <w:szCs w:val="32"/>
          <w:lang w:eastAsia="zh-CN"/>
        </w:rPr>
        <w:t>〉</w:t>
      </w:r>
      <w:r>
        <w:rPr>
          <w:rFonts w:hint="eastAsia" w:ascii="宋体" w:hAnsi="宋体" w:eastAsia="宋体" w:cs="宋体"/>
          <w:sz w:val="32"/>
          <w:szCs w:val="32"/>
        </w:rPr>
        <w:t>在学科中的应用</w:t>
      </w:r>
      <w:r>
        <w:rPr>
          <w:rFonts w:hint="eastAsia" w:ascii="宋体" w:hAnsi="宋体" w:eastAsia="宋体" w:cs="宋体"/>
          <w:sz w:val="32"/>
          <w:szCs w:val="32"/>
          <w:lang w:eastAsia="zh-CN"/>
        </w:rPr>
        <w:t>》</w:t>
      </w:r>
      <w:r>
        <w:rPr>
          <w:rFonts w:hint="eastAsia" w:ascii="宋体" w:hAnsi="宋体" w:eastAsia="宋体" w:cs="宋体"/>
          <w:sz w:val="32"/>
          <w:szCs w:val="32"/>
          <w:lang w:val="en-US" w:eastAsia="zh-CN"/>
        </w:rPr>
        <w:t>《家庭教育、学校教育、社区教育三结合机制研究》《家长积极心理促进的行动研究》《学生心理健康状况评价研究》等多项课题，均已结题。几年来所写论文《核心素养视域下小学语文群文阅读教学策略》《小学语文教学中进行有效作文训练的尝试》《浅谈挫折教育》</w:t>
      </w:r>
      <w:r>
        <w:rPr>
          <w:rFonts w:hint="eastAsia" w:ascii="宋体" w:hAnsi="宋体" w:eastAsia="宋体" w:cs="宋体"/>
          <w:sz w:val="32"/>
          <w:szCs w:val="32"/>
        </w:rPr>
        <w:t>《读写结合提高小学生习作能力的探索》</w:t>
      </w:r>
      <w:r>
        <w:rPr>
          <w:rFonts w:hint="eastAsia" w:ascii="宋体" w:hAnsi="宋体" w:eastAsia="宋体" w:cs="宋体"/>
          <w:sz w:val="32"/>
          <w:szCs w:val="32"/>
          <w:lang w:eastAsia="zh-CN"/>
        </w:rPr>
        <w:t>《</w:t>
      </w:r>
      <w:r>
        <w:rPr>
          <w:rFonts w:hint="eastAsia" w:ascii="宋体" w:hAnsi="宋体" w:eastAsia="宋体" w:cs="宋体"/>
          <w:sz w:val="32"/>
          <w:szCs w:val="32"/>
        </w:rPr>
        <w:t>如何在语文教学中有效实施小练笔</w:t>
      </w:r>
      <w:r>
        <w:rPr>
          <w:rFonts w:hint="eastAsia" w:ascii="宋体" w:hAnsi="宋体" w:eastAsia="宋体" w:cs="宋体"/>
          <w:sz w:val="32"/>
          <w:szCs w:val="32"/>
          <w:lang w:eastAsia="zh-CN"/>
        </w:rPr>
        <w:t>》《</w:t>
      </w:r>
      <w:r>
        <w:rPr>
          <w:rFonts w:hint="eastAsia" w:ascii="宋体" w:hAnsi="宋体" w:eastAsia="宋体" w:cs="宋体"/>
          <w:sz w:val="32"/>
          <w:szCs w:val="32"/>
        </w:rPr>
        <w:t>语文课堂小练笔初探</w:t>
      </w:r>
      <w:r>
        <w:rPr>
          <w:rFonts w:hint="eastAsia" w:ascii="宋体" w:hAnsi="宋体" w:eastAsia="宋体" w:cs="宋体"/>
          <w:sz w:val="32"/>
          <w:szCs w:val="32"/>
          <w:lang w:eastAsia="zh-CN"/>
        </w:rPr>
        <w:t>》《</w:t>
      </w:r>
      <w:r>
        <w:rPr>
          <w:rFonts w:hint="eastAsia" w:ascii="宋体" w:hAnsi="宋体" w:eastAsia="宋体" w:cs="宋体"/>
          <w:sz w:val="32"/>
          <w:szCs w:val="32"/>
        </w:rPr>
        <w:t>读写结合提高小学生习作能</w:t>
      </w:r>
      <w:r>
        <w:rPr>
          <w:rFonts w:hint="eastAsia" w:ascii="宋体" w:hAnsi="宋体" w:eastAsia="宋体" w:cs="宋体"/>
          <w:color w:val="000000"/>
          <w:spacing w:val="10"/>
          <w:sz w:val="32"/>
          <w:szCs w:val="32"/>
        </w:rPr>
        <w:t>力的探索</w:t>
      </w:r>
      <w:r>
        <w:rPr>
          <w:rFonts w:hint="eastAsia" w:ascii="宋体" w:hAnsi="宋体" w:eastAsia="宋体" w:cs="宋体"/>
          <w:color w:val="000000"/>
          <w:spacing w:val="10"/>
          <w:sz w:val="32"/>
          <w:szCs w:val="32"/>
          <w:lang w:eastAsia="zh-CN"/>
        </w:rPr>
        <w:t>》</w:t>
      </w:r>
      <w:r>
        <w:rPr>
          <w:rFonts w:hint="eastAsia" w:ascii="宋体" w:hAnsi="宋体" w:eastAsia="宋体" w:cs="宋体"/>
          <w:color w:val="000000"/>
          <w:spacing w:val="10"/>
          <w:sz w:val="32"/>
          <w:szCs w:val="32"/>
        </w:rPr>
        <w:t>《随文练笔如何把握》《</w:t>
      </w:r>
      <w:r>
        <w:rPr>
          <w:rFonts w:hint="eastAsia" w:ascii="宋体" w:hAnsi="宋体" w:eastAsia="宋体" w:cs="宋体"/>
          <w:bCs/>
          <w:color w:val="000000"/>
          <w:sz w:val="32"/>
          <w:szCs w:val="32"/>
        </w:rPr>
        <w:t>浅谈如何在小学阅读教学中进行朗读的训练》</w:t>
      </w:r>
      <w:r>
        <w:rPr>
          <w:rFonts w:hint="eastAsia" w:ascii="宋体" w:hAnsi="宋体" w:eastAsia="宋体" w:cs="宋体"/>
          <w:color w:val="000000"/>
          <w:sz w:val="32"/>
          <w:szCs w:val="32"/>
          <w:lang w:val="en-US" w:eastAsia="zh-CN"/>
        </w:rPr>
        <w:t>等十多篇在国家、省市刊物发表。</w:t>
      </w:r>
    </w:p>
    <w:p>
      <w:pPr>
        <w:keepNext w:val="0"/>
        <w:keepLines w:val="0"/>
        <w:pageBreakBefore w:val="0"/>
        <w:widowControl/>
        <w:kinsoku/>
        <w:wordWrap/>
        <w:overflowPunct/>
        <w:topLinePunct w:val="0"/>
        <w:autoSpaceDE/>
        <w:autoSpaceDN/>
        <w:bidi w:val="0"/>
        <w:adjustRightInd/>
        <w:snapToGrid/>
        <w:spacing w:line="360" w:lineRule="auto"/>
        <w:ind w:left="-51" w:right="-51" w:firstLine="640" w:firstLineChars="200"/>
        <w:jc w:val="left"/>
        <w:textAlignment w:val="auto"/>
        <w:rPr>
          <w:rFonts w:hint="eastAsia" w:ascii="宋体" w:hAnsi="宋体" w:eastAsia="宋体" w:cs="宋体"/>
          <w:color w:val="000000"/>
          <w:sz w:val="32"/>
          <w:szCs w:val="32"/>
          <w:lang w:val="en-US" w:eastAsia="zh-CN"/>
        </w:rPr>
      </w:pPr>
      <w:r>
        <w:rPr>
          <w:rFonts w:hint="eastAsia" w:ascii="宋体" w:hAnsi="宋体" w:eastAsia="宋体" w:cs="宋体"/>
          <w:color w:val="000000"/>
          <w:sz w:val="32"/>
          <w:szCs w:val="32"/>
          <w:lang w:val="en-US" w:eastAsia="zh-CN"/>
        </w:rPr>
        <w:t>2014年主动报名参与辽宁省岫岩支教活动，在一年的支教工作中克服了水土不服、手术、家人生病等多种困难，积极带领支教学校——新甸小学教师深入学习阅读、国学、习作教学模式，开展了国学进课堂、游戏作文、单元主题作文训练、语文新授课课时分割探究等多方面引领与探究，提高学校教研水平，得到所在支教学校领导和老师的一致好评。支教期间，亲自上观摩课并做讲座，指导多位老师上示范课，指导多位老师上展示课，受到教研员好评。</w:t>
      </w:r>
    </w:p>
    <w:p>
      <w:pPr>
        <w:keepNext w:val="0"/>
        <w:keepLines w:val="0"/>
        <w:pageBreakBefore w:val="0"/>
        <w:widowControl/>
        <w:kinsoku/>
        <w:wordWrap/>
        <w:overflowPunct/>
        <w:topLinePunct w:val="0"/>
        <w:autoSpaceDE/>
        <w:autoSpaceDN/>
        <w:bidi w:val="0"/>
        <w:adjustRightInd/>
        <w:snapToGrid/>
        <w:spacing w:line="360" w:lineRule="auto"/>
        <w:ind w:left="-51" w:right="-51" w:firstLine="640" w:firstLineChars="200"/>
        <w:jc w:val="left"/>
        <w:textAlignment w:val="auto"/>
        <w:rPr>
          <w:rFonts w:hint="eastAsia" w:ascii="宋体" w:hAnsi="宋体" w:eastAsia="宋体" w:cs="宋体"/>
          <w:color w:val="000000"/>
          <w:sz w:val="32"/>
          <w:szCs w:val="32"/>
          <w:lang w:val="en-US" w:eastAsia="zh-CN"/>
        </w:rPr>
      </w:pPr>
      <w:r>
        <w:rPr>
          <w:rFonts w:hint="eastAsia" w:ascii="宋体" w:hAnsi="宋体" w:eastAsia="宋体" w:cs="宋体"/>
          <w:color w:val="000000"/>
          <w:sz w:val="32"/>
          <w:szCs w:val="32"/>
          <w:lang w:val="en-US" w:eastAsia="zh-CN"/>
        </w:rPr>
        <w:t>2014年起担任鞍山经济开发区教师进修学校小教部兼职语文教研员，负责主持经济开发区小学语文教学教研工作，带领全区教师们对课堂教学进行了深入的探讨，负责全区教研工作。组织并主持了开发区学期初教材培训、鞍山经济开发区第一届、第二届全学科优质课评比活动、青年卓越教师学科专业成长经验交流会、鞍山经济开发区期末复习研讨会、北京特级教师吉春亚语文学科培训、教研员专业讲座活动、辽宁省心理专家宁玉华中小学心理健康辅导讲座、开发区中小学教师培训活动、优秀班主任东北大学培训等多项教研活动，邀请全国各地多位专家来我区讲座，协助市研训处定</w:t>
      </w:r>
      <w:bookmarkStart w:id="0" w:name="_GoBack"/>
      <w:bookmarkEnd w:id="0"/>
      <w:r>
        <w:rPr>
          <w:rFonts w:hint="eastAsia" w:ascii="宋体" w:hAnsi="宋体" w:eastAsia="宋体" w:cs="宋体"/>
          <w:color w:val="000000"/>
          <w:sz w:val="32"/>
          <w:szCs w:val="32"/>
          <w:lang w:val="en-US" w:eastAsia="zh-CN"/>
        </w:rPr>
        <w:t>期开展我区师训、干训等培训活动。</w:t>
      </w:r>
    </w:p>
    <w:p>
      <w:pPr>
        <w:keepNext w:val="0"/>
        <w:keepLines w:val="0"/>
        <w:pageBreakBefore w:val="0"/>
        <w:widowControl/>
        <w:kinsoku/>
        <w:wordWrap/>
        <w:overflowPunct/>
        <w:topLinePunct w:val="0"/>
        <w:autoSpaceDE/>
        <w:autoSpaceDN/>
        <w:bidi w:val="0"/>
        <w:adjustRightInd/>
        <w:snapToGrid/>
        <w:spacing w:line="360" w:lineRule="auto"/>
        <w:ind w:left="-51" w:right="-51" w:firstLine="640" w:firstLineChars="200"/>
        <w:jc w:val="left"/>
        <w:textAlignment w:val="auto"/>
        <w:rPr>
          <w:rFonts w:hint="eastAsia" w:ascii="宋体" w:hAnsi="宋体" w:eastAsia="宋体" w:cs="宋体"/>
          <w:color w:val="000000"/>
          <w:sz w:val="32"/>
          <w:szCs w:val="32"/>
          <w:lang w:val="en-US" w:eastAsia="zh-CN"/>
        </w:r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32"/>
          <w:lang w:val="en-US" w:eastAsia="zh-CN"/>
        </w:rPr>
      </w:pPr>
    </w:p>
    <w:sectPr>
      <w:pgSz w:w="11906" w:h="16838"/>
      <w:pgMar w:top="1440" w:right="1213" w:bottom="1440" w:left="121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kOTViODY4OWE3ZjIwYTBmMGE0NzkxNjhjNmIxYTgifQ=="/>
  </w:docVars>
  <w:rsids>
    <w:rsidRoot w:val="00000000"/>
    <w:rsid w:val="00645199"/>
    <w:rsid w:val="209B7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Office_12.1.0.15336_F1E327BC-269C-435d-A152-05C5408002CA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dc:creator>
  <cp:lastModifiedBy>张安峰</cp:lastModifiedBy>
  <dcterms:modified xsi:type="dcterms:W3CDTF">2023-08-22T10:08:56Z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2052-12.1.0.15336</vt:lpwstr>
  </property>
  <property fmtid="{D5CDD505-2E9C-101B-9397-08002B2CF9AE}" pid="3" name="ICV">
    <vt:lpwstr>0860AA245E3940C28E5B86CFEC455398_12</vt:lpwstr>
  </property>
</Properties>
</file>